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45861">
      <w:pPr>
        <w:pStyle w:val="naslov"/>
        <w:divId w:val="525992147"/>
      </w:pPr>
      <w:bookmarkStart w:id="0" w:name="_GoBack"/>
      <w:bookmarkEnd w:id="0"/>
      <w:r>
        <w:rPr>
          <w:rStyle w:val="zadanifontodlomka"/>
        </w:rPr>
        <w:t xml:space="preserve">NACRT PRIJEDLOGA ZAKONA O IZMJENAMA I DOPUNAMA </w:t>
      </w:r>
    </w:p>
    <w:p w:rsidR="00000000" w:rsidRDefault="00245861">
      <w:pPr>
        <w:pStyle w:val="naslov-000001"/>
        <w:spacing w:after="0"/>
        <w:divId w:val="525992147"/>
      </w:pPr>
      <w:r>
        <w:rPr>
          <w:rStyle w:val="zadanifontodlomka"/>
        </w:rPr>
        <w:t>ZAKONA O PODRUČJIMA ŽUPANIJA, GRADOVA I OPĆINA U REPUBLICI HRVATSKOJ</w:t>
      </w:r>
      <w:r>
        <w:t xml:space="preserve"> </w:t>
      </w:r>
    </w:p>
    <w:p w:rsidR="00000000" w:rsidRDefault="00245861">
      <w:pPr>
        <w:pStyle w:val="normal0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0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zadanifontodlomka-000003"/>
          <w:rFonts w:eastAsia="Times New Roman"/>
          <w:b/>
          <w:bCs/>
        </w:rPr>
        <w:t xml:space="preserve">Članak 1. </w:t>
      </w:r>
    </w:p>
    <w:p w:rsidR="00000000" w:rsidRDefault="00245861">
      <w:pPr>
        <w:pStyle w:val="normal0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 xml:space="preserve">U Zakonu o područjima županija, gradova i općina u Republici Hrvatskoj („Narodne novine“ broj 86/2006, 125/2006 – ispravak, 16/2007 – ispravak, 95/2008 – Odluka Ustavnog suda Republike Hrvatske, 46/2010 – ispravak, 145/2010, 37/2013, 44/2013 i 45/2013), u </w:t>
      </w:r>
      <w:r>
        <w:rPr>
          <w:rStyle w:val="zadanifontodlomka-000005"/>
        </w:rPr>
        <w:t>članku 26. stavku 2. riječ: „poglavarstva“ zamjenjuje se riječima: „općinskog načelnika, odnosno gradonačelnika“.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U stavku 3. riječi: „predsjednici poglavarstava“ zamjenjuju se riječima: „općinski načelnici, odnosno gradonačelnici“.</w:t>
      </w:r>
      <w:r>
        <w:t xml:space="preserve">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zadanifontodlomka-000003"/>
          <w:rFonts w:eastAsia="Times New Roman"/>
          <w:b/>
          <w:bCs/>
        </w:rPr>
        <w:t xml:space="preserve">Članak 2.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U čl</w:t>
      </w:r>
      <w:r>
        <w:rPr>
          <w:rStyle w:val="zadanifontodlomka-000005"/>
        </w:rPr>
        <w:t>anku 28. stavku 1. iza riječi: „tajnika Povjerenstva“ dodaju se riječi: „te određuje naknadu za njihov rad“.</w:t>
      </w:r>
      <w:r>
        <w:t xml:space="preserve"> </w:t>
      </w:r>
    </w:p>
    <w:p w:rsidR="00000000" w:rsidRDefault="00245861">
      <w:pPr>
        <w:pStyle w:val="normal0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zadanifontodlomka-000003"/>
          <w:rFonts w:eastAsia="Times New Roman"/>
          <w:b/>
          <w:bCs/>
        </w:rPr>
        <w:t xml:space="preserve">Članak 3.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U naslovu glave IV. Zakona ispred članka 30., iza riječi: „SJEDIŠTA“ dodaje se zarez i riječi: „DOBROVOLJNO SPAJANJE“.</w:t>
      </w:r>
      <w:r>
        <w:t xml:space="preserve">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zadanifontodlomka-000003"/>
          <w:rFonts w:eastAsia="Times New Roman"/>
          <w:b/>
          <w:bCs/>
        </w:rPr>
        <w:t>Čla</w:t>
      </w:r>
      <w:r>
        <w:rPr>
          <w:rStyle w:val="zadanifontodlomka-000003"/>
          <w:rFonts w:eastAsia="Times New Roman"/>
          <w:b/>
          <w:bCs/>
        </w:rPr>
        <w:t xml:space="preserve">nak 4. </w:t>
      </w:r>
    </w:p>
    <w:p w:rsidR="00000000" w:rsidRDefault="00245861">
      <w:pPr>
        <w:pStyle w:val="normal0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Iza članka 30. dodaje se članak 30.a koji glasi:</w:t>
      </w:r>
      <w:r>
        <w:t xml:space="preserve"> </w:t>
      </w:r>
    </w:p>
    <w:p w:rsidR="00000000" w:rsidRDefault="00245861">
      <w:pPr>
        <w:pStyle w:val="normal0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0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0"/>
      </w:pPr>
      <w:r>
        <w:rPr>
          <w:rStyle w:val="zadanifontodlomka-000005"/>
        </w:rPr>
        <w:t>„Članak 30.a</w:t>
      </w:r>
      <w:r>
        <w:t xml:space="preserve">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7"/>
      </w:pPr>
      <w:r>
        <w:rPr>
          <w:rStyle w:val="zadanifontodlomka-000005"/>
        </w:rPr>
        <w:t>Jedinice lokalne samouprave koje međusobno graniče mogu se dobrovoljno spajati.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Odluku o dobrovoljnom spajanju jedinica lokalne samouprave iz stavka 1. ovoga članka donose</w:t>
      </w:r>
      <w:r>
        <w:rPr>
          <w:rStyle w:val="zadanifontodlomka-000005"/>
        </w:rPr>
        <w:t xml:space="preserve"> njihova predstavnička tijela većinom glasova svih članova, nakon pribavljenog mišljenja građana s područja jedinica na koje se spajanje odnosi.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lastRenderedPageBreak/>
        <w:t>Odluka iz stavka 1. ovoga članka mora sadržavati:</w:t>
      </w:r>
      <w:r>
        <w:t xml:space="preserve"> </w:t>
      </w:r>
    </w:p>
    <w:p w:rsidR="00000000" w:rsidRDefault="00245861">
      <w:pPr>
        <w:pStyle w:val="000008"/>
      </w:pPr>
      <w:r>
        <w:rPr>
          <w:rStyle w:val="000009"/>
        </w:rPr>
        <w:t>-</w:t>
      </w:r>
      <w:r>
        <w:t xml:space="preserve"> </w:t>
      </w:r>
      <w:r>
        <w:rPr>
          <w:rStyle w:val="zadanifontodlomka-000005"/>
        </w:rPr>
        <w:t>nazive jedinica lokalne samouprave koje se spajaju</w:t>
      </w:r>
      <w:r>
        <w:t xml:space="preserve"> </w:t>
      </w:r>
    </w:p>
    <w:p w:rsidR="00000000" w:rsidRDefault="00245861">
      <w:pPr>
        <w:pStyle w:val="000008"/>
      </w:pPr>
      <w:r>
        <w:rPr>
          <w:rStyle w:val="000009"/>
        </w:rPr>
        <w:t>-</w:t>
      </w:r>
      <w:r>
        <w:t xml:space="preserve"> </w:t>
      </w:r>
      <w:r>
        <w:rPr>
          <w:rStyle w:val="zadanifontodlomka-000005"/>
        </w:rPr>
        <w:t>naziv i vrstu te sjedište nove jedinice lokalne samouprave koja nastaje spajanjem</w:t>
      </w:r>
      <w:r>
        <w:t xml:space="preserve"> </w:t>
      </w:r>
    </w:p>
    <w:p w:rsidR="00000000" w:rsidRDefault="00245861">
      <w:pPr>
        <w:pStyle w:val="000008"/>
      </w:pPr>
      <w:r>
        <w:rPr>
          <w:rStyle w:val="000009"/>
        </w:rPr>
        <w:t>-</w:t>
      </w:r>
      <w:r>
        <w:t xml:space="preserve"> </w:t>
      </w:r>
      <w:r>
        <w:rPr>
          <w:rStyle w:val="zadanifontodlomka-000005"/>
        </w:rPr>
        <w:t>suglasnost za prijenos imovine</w:t>
      </w:r>
      <w:r>
        <w:t xml:space="preserve"> </w:t>
      </w:r>
      <w:r>
        <w:rPr>
          <w:rStyle w:val="zadanifontodlomka-000005"/>
        </w:rPr>
        <w:t>te prava i obveza jedinice koja se spaja na jedinicu koja nastaje spajanjem.“</w:t>
      </w:r>
      <w:r>
        <w:t xml:space="preserve">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zadanifontodlomka-000003"/>
          <w:rFonts w:eastAsia="Times New Roman"/>
          <w:b/>
          <w:bCs/>
        </w:rPr>
        <w:t xml:space="preserve">Članak 5. </w:t>
      </w:r>
    </w:p>
    <w:p w:rsidR="00000000" w:rsidRDefault="00245861">
      <w:pPr>
        <w:pStyle w:val="normal0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U članku 37. stavku 5. iza riječi: „tajni</w:t>
      </w:r>
      <w:r>
        <w:rPr>
          <w:rStyle w:val="zadanifontodlomka-000005"/>
        </w:rPr>
        <w:t>ka Povjerenstva“ dodaju se riječi: „te određuje naknadu za njihov rad“.</w:t>
      </w:r>
      <w:r>
        <w:t xml:space="preserve">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6"/>
      </w:pPr>
      <w:r>
        <w:rPr>
          <w:rStyle w:val="zadanifontodlomka-000005"/>
        </w:rPr>
        <w:t>PRIJELAZNE I ZAVRŠNE ODREDBE</w:t>
      </w:r>
      <w:r>
        <w:t xml:space="preserve">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zadanifontodlomka-000003"/>
          <w:rFonts w:eastAsia="Times New Roman"/>
          <w:b/>
          <w:bCs/>
        </w:rPr>
        <w:t xml:space="preserve">Članak 6.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 xml:space="preserve">Vlada Republike Hrvatske raspisat će izbore za članove predstavničkih tijela novoosnovanih jedinica lokalne samouprave nastalih dobrovoljnim spajanjem i za općinskog načelnika, odnosno gradonačelnika te njihove zamjenike u roku od 90 dana od dana stupanja </w:t>
      </w:r>
      <w:r>
        <w:rPr>
          <w:rStyle w:val="zadanifontodlomka-000005"/>
        </w:rPr>
        <w:t>na snagu zakona kojim su te jedinice osnovane.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Iznimno, ako je zakon kojim su nove jedinice osnovane stupio na snagu manje od godinu dana prije održavanja redovnih lokalnih izbora, izbori za članove predstavničkih tijela novoosnovanih jedinica lokalne sam</w:t>
      </w:r>
      <w:r>
        <w:rPr>
          <w:rStyle w:val="zadanifontodlomka-000005"/>
        </w:rPr>
        <w:t>ouprave nastalih dobrovoljnim spajanjem i za općinskog načelnika, odnosno gradonačelnika te njihove zamjenike neće se raspisati u roku iz stavka 1. ovoga članka.</w:t>
      </w:r>
      <w:r>
        <w:t xml:space="preserve">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zadanifontodlomka-000003"/>
          <w:rFonts w:eastAsia="Times New Roman"/>
          <w:b/>
          <w:bCs/>
        </w:rPr>
        <w:t xml:space="preserve">Članak 7.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Postojeća predstavnička i izvršna tijela jedinica kod kojih je došlo do p</w:t>
      </w:r>
      <w:r>
        <w:rPr>
          <w:rStyle w:val="zadanifontodlomka-000005"/>
        </w:rPr>
        <w:t>romjena područja, nastavljaju s radom u dosadašnjem djelokrugu i s dosadašnjom područnom nadležnosti do konstituiranja novih predstavničkih tijela, odnosno početka mandata novih izvršnih tijela.</w:t>
      </w:r>
      <w:r>
        <w:t xml:space="preserve">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zadanifontodlomka-000003"/>
          <w:rFonts w:eastAsia="Times New Roman"/>
          <w:b/>
          <w:bCs/>
        </w:rPr>
        <w:t xml:space="preserve">Članak 8.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Novoosnovane jedinice lokalne samouprave</w:t>
      </w:r>
      <w:r>
        <w:rPr>
          <w:rStyle w:val="zadanifontodlomka-000005"/>
        </w:rPr>
        <w:t xml:space="preserve"> ustrojit će upravna tijela u roku od 60 dana od dana konstituiranja predstavničkog tijela.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Do ustrojavanja upravnih tijela iz stavka 1. ovoga članka i preuzimanja predmeta, poslove upravnih tijela novoosnovanih jedinica obavljaju upravna tijela</w:t>
      </w:r>
      <w:r>
        <w:t xml:space="preserve"> </w:t>
      </w:r>
      <w:r>
        <w:rPr>
          <w:rStyle w:val="zadanifontodlomka-000005"/>
        </w:rPr>
        <w:t>jedinica koje se spajaju.</w:t>
      </w:r>
      <w:r>
        <w:t xml:space="preserve">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zadanifontodlomka-000003"/>
          <w:rFonts w:eastAsia="Times New Roman"/>
          <w:b/>
          <w:bCs/>
        </w:rPr>
        <w:lastRenderedPageBreak/>
        <w:t xml:space="preserve">Članak 9.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Upravna tijela novoosnovanih jedinica lokalne samouprave koje su nastale dobrovoljnim spajanjem preuzet će sve predmete u radu, kao i arhivirane predmete i dokumentaciju upravnih tijela jedinica koje se spajaj</w:t>
      </w:r>
      <w:r>
        <w:rPr>
          <w:rStyle w:val="zadanifontodlomka-000005"/>
        </w:rPr>
        <w:t>u.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Preuzimanje predmeta i dokumentacije provest će povjerenstva za preuzimanje predmeta i dokumentacije. U povjerenstvo za preuzimanje predmeta i dokumentacije svaka jedinica lokalne samouprave koja se spaja imenuje po jednog člana, a jednog imenuje župan</w:t>
      </w:r>
      <w:r>
        <w:rPr>
          <w:rStyle w:val="zadanifontodlomka-000005"/>
        </w:rPr>
        <w:t xml:space="preserve"> županije s čijeg su područja jedinice koje se spajaju.</w:t>
      </w:r>
      <w:r>
        <w:t xml:space="preserve"> </w:t>
      </w:r>
    </w:p>
    <w:p w:rsidR="00000000" w:rsidRDefault="00245861">
      <w:pPr>
        <w:pStyle w:val="normal-000012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0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zadanifontodlomka-000003"/>
          <w:rFonts w:eastAsia="Times New Roman"/>
          <w:b/>
          <w:bCs/>
        </w:rPr>
        <w:t xml:space="preserve">Članak 10. </w:t>
      </w:r>
    </w:p>
    <w:p w:rsidR="00000000" w:rsidRDefault="00245861">
      <w:pPr>
        <w:pStyle w:val="normal0"/>
      </w:pPr>
      <w:r>
        <w:rPr>
          <w:rStyle w:val="000002"/>
        </w:rPr>
        <w:t> </w:t>
      </w:r>
      <w:r>
        <w:t xml:space="preserve"> </w:t>
      </w:r>
    </w:p>
    <w:p w:rsidR="00000000" w:rsidRDefault="00245861">
      <w:pPr>
        <w:pStyle w:val="normal-000004"/>
      </w:pPr>
      <w:r>
        <w:rPr>
          <w:rStyle w:val="zadanifontodlomka-000005"/>
        </w:rPr>
        <w:t>Ovaj Zakon stupa na snagu osmoga dana od dana objave u „Narodnim novinama“.</w:t>
      </w:r>
      <w:r>
        <w:t xml:space="preserve"> </w:t>
      </w:r>
    </w:p>
    <w:p w:rsidR="00000000" w:rsidRDefault="00245861">
      <w:pPr>
        <w:pStyle w:val="normal-000006"/>
      </w:pPr>
      <w:r>
        <w:rPr>
          <w:rStyle w:val="000002"/>
        </w:rPr>
        <w:t> </w:t>
      </w:r>
      <w:r>
        <w:t xml:space="preserve"> </w:t>
      </w:r>
    </w:p>
    <w:p w:rsidR="00245861" w:rsidRDefault="00245861">
      <w:pPr>
        <w:pStyle w:val="normal-000013"/>
      </w:pPr>
      <w:r>
        <w:rPr>
          <w:rStyle w:val="000015"/>
        </w:rPr>
        <w:t> </w:t>
      </w:r>
      <w:r>
        <w:t xml:space="preserve"> </w:t>
      </w:r>
    </w:p>
    <w:sectPr w:rsidR="0024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A0"/>
    <w:rsid w:val="00241868"/>
    <w:rsid w:val="00245861"/>
    <w:rsid w:val="006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naslov">
    <w:name w:val="naslov"/>
    <w:basedOn w:val="Normal"/>
    <w:pPr>
      <w:spacing w:after="0" w:line="240" w:lineRule="auto"/>
    </w:pPr>
    <w:rPr>
      <w:rFonts w:ascii="Cambria" w:hAnsi="Cambria" w:cs="Times New Roman"/>
      <w:sz w:val="52"/>
      <w:szCs w:val="52"/>
    </w:rPr>
  </w:style>
  <w:style w:type="paragraph" w:customStyle="1" w:styleId="naslov-000001">
    <w:name w:val="naslov-000001"/>
    <w:basedOn w:val="Normal"/>
    <w:pPr>
      <w:spacing w:after="270" w:line="240" w:lineRule="auto"/>
    </w:pPr>
    <w:rPr>
      <w:rFonts w:ascii="Cambria" w:hAnsi="Cambria" w:cs="Times New Roman"/>
      <w:sz w:val="52"/>
      <w:szCs w:val="52"/>
    </w:rPr>
  </w:style>
  <w:style w:type="paragraph" w:customStyle="1" w:styleId="normal0">
    <w:name w:val="normal"/>
    <w:basedOn w:val="Normal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04">
    <w:name w:val="normal-000004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06">
    <w:name w:val="normal-000006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07">
    <w:name w:val="normal-000007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08">
    <w:name w:val="000008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2">
    <w:name w:val="normal-000012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3">
    <w:name w:val="normal-000013"/>
    <w:basedOn w:val="Normal"/>
    <w:pPr>
      <w:spacing w:after="0" w:line="240" w:lineRule="auto"/>
    </w:pPr>
    <w:rPr>
      <w:rFonts w:ascii="Calibri" w:hAnsi="Calibri" w:cs="Times New Roman"/>
    </w:rPr>
  </w:style>
  <w:style w:type="character" w:customStyle="1" w:styleId="zadanifontodlomka">
    <w:name w:val="zadanifontodlomka"/>
    <w:basedOn w:val="DefaultParagraphFont"/>
    <w:rPr>
      <w:rFonts w:ascii="Cambria" w:hAnsi="Cambria" w:hint="default"/>
      <w:b w:val="0"/>
      <w:bCs w:val="0"/>
      <w:color w:val="17365D"/>
      <w:sz w:val="52"/>
      <w:szCs w:val="52"/>
    </w:rPr>
  </w:style>
  <w:style w:type="character" w:customStyle="1" w:styleId="000002">
    <w:name w:val="000002"/>
    <w:basedOn w:val="DefaultParagraphFont"/>
    <w:rPr>
      <w:b w:val="0"/>
      <w:bCs w:val="0"/>
      <w:sz w:val="24"/>
      <w:szCs w:val="24"/>
    </w:rPr>
  </w:style>
  <w:style w:type="character" w:customStyle="1" w:styleId="zadanifontodlomka-000003">
    <w:name w:val="zadanifontodlomka-000003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zadanifontodlomka-000005">
    <w:name w:val="zadanifontodlomka-000005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9">
    <w:name w:val="000009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5">
    <w:name w:val="000015"/>
    <w:basedOn w:val="DefaultParagraphFont"/>
    <w:rPr>
      <w:b w:val="0"/>
      <w:bC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naslov">
    <w:name w:val="naslov"/>
    <w:basedOn w:val="Normal"/>
    <w:pPr>
      <w:spacing w:after="0" w:line="240" w:lineRule="auto"/>
    </w:pPr>
    <w:rPr>
      <w:rFonts w:ascii="Cambria" w:hAnsi="Cambria" w:cs="Times New Roman"/>
      <w:sz w:val="52"/>
      <w:szCs w:val="52"/>
    </w:rPr>
  </w:style>
  <w:style w:type="paragraph" w:customStyle="1" w:styleId="naslov-000001">
    <w:name w:val="naslov-000001"/>
    <w:basedOn w:val="Normal"/>
    <w:pPr>
      <w:spacing w:after="270" w:line="240" w:lineRule="auto"/>
    </w:pPr>
    <w:rPr>
      <w:rFonts w:ascii="Cambria" w:hAnsi="Cambria" w:cs="Times New Roman"/>
      <w:sz w:val="52"/>
      <w:szCs w:val="52"/>
    </w:rPr>
  </w:style>
  <w:style w:type="paragraph" w:customStyle="1" w:styleId="normal0">
    <w:name w:val="normal"/>
    <w:basedOn w:val="Normal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04">
    <w:name w:val="normal-000004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06">
    <w:name w:val="normal-000006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07">
    <w:name w:val="normal-000007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08">
    <w:name w:val="000008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2">
    <w:name w:val="normal-000012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3">
    <w:name w:val="normal-000013"/>
    <w:basedOn w:val="Normal"/>
    <w:pPr>
      <w:spacing w:after="0" w:line="240" w:lineRule="auto"/>
    </w:pPr>
    <w:rPr>
      <w:rFonts w:ascii="Calibri" w:hAnsi="Calibri" w:cs="Times New Roman"/>
    </w:rPr>
  </w:style>
  <w:style w:type="character" w:customStyle="1" w:styleId="zadanifontodlomka">
    <w:name w:val="zadanifontodlomka"/>
    <w:basedOn w:val="DefaultParagraphFont"/>
    <w:rPr>
      <w:rFonts w:ascii="Cambria" w:hAnsi="Cambria" w:hint="default"/>
      <w:b w:val="0"/>
      <w:bCs w:val="0"/>
      <w:color w:val="17365D"/>
      <w:sz w:val="52"/>
      <w:szCs w:val="52"/>
    </w:rPr>
  </w:style>
  <w:style w:type="character" w:customStyle="1" w:styleId="000002">
    <w:name w:val="000002"/>
    <w:basedOn w:val="DefaultParagraphFont"/>
    <w:rPr>
      <w:b w:val="0"/>
      <w:bCs w:val="0"/>
      <w:sz w:val="24"/>
      <w:szCs w:val="24"/>
    </w:rPr>
  </w:style>
  <w:style w:type="character" w:customStyle="1" w:styleId="zadanifontodlomka-000003">
    <w:name w:val="zadanifontodlomka-000003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zadanifontodlomka-000005">
    <w:name w:val="zadanifontodlomka-000005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9">
    <w:name w:val="000009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5">
    <w:name w:val="000015"/>
    <w:basedOn w:val="DefaultParagraphFont"/>
    <w:rPr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9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F81BD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udruga gradova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2015-09-01T11:35:00Z</dcterms:created>
  <dcterms:modified xsi:type="dcterms:W3CDTF">2015-09-01T11:35:00Z</dcterms:modified>
</cp:coreProperties>
</file>